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ind w:firstLine="2560" w:firstLineChars="800"/>
        <w:jc w:val="left"/>
        <w:textAlignment w:val="auto"/>
        <w:outlineLvl w:val="9"/>
        <w:rPr>
          <w:rFonts w:hint="eastAsia" w:asciiTheme="majorEastAsia" w:hAnsiTheme="majorEastAsia" w:eastAsiaTheme="majorEastAsia" w:cstheme="majorEastAsia"/>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2560" w:firstLineChars="800"/>
        <w:jc w:val="left"/>
        <w:textAlignment w:val="auto"/>
        <w:outlineLvl w:val="9"/>
        <w:rPr>
          <w:rFonts w:hint="eastAsia" w:asciiTheme="majorEastAsia" w:hAnsiTheme="majorEastAsia" w:eastAsiaTheme="majorEastAsia" w:cstheme="majorEastAsia"/>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2560" w:firstLineChars="800"/>
        <w:jc w:val="left"/>
        <w:textAlignment w:val="auto"/>
        <w:outlineLvl w:val="9"/>
        <w:rPr>
          <w:rFonts w:hint="eastAsia" w:asciiTheme="majorEastAsia" w:hAnsiTheme="majorEastAsia" w:eastAsiaTheme="majorEastAsia" w:cstheme="majorEastAsia"/>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2560" w:firstLineChars="800"/>
        <w:jc w:val="left"/>
        <w:textAlignment w:val="auto"/>
        <w:outlineLvl w:val="9"/>
        <w:rPr>
          <w:rFonts w:hint="eastAsia" w:asciiTheme="majorEastAsia" w:hAnsiTheme="majorEastAsia" w:eastAsiaTheme="majorEastAsia" w:cstheme="majorEastAsia"/>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2560" w:firstLineChars="800"/>
        <w:jc w:val="left"/>
        <w:textAlignment w:val="auto"/>
        <w:outlineLvl w:val="9"/>
        <w:rPr>
          <w:rFonts w:hint="eastAsia" w:asciiTheme="majorEastAsia" w:hAnsiTheme="majorEastAsia" w:eastAsiaTheme="majorEastAsia" w:cstheme="majorEastAsia"/>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2560" w:firstLineChars="800"/>
        <w:jc w:val="left"/>
        <w:textAlignment w:val="auto"/>
        <w:outlineLvl w:val="9"/>
        <w:rPr>
          <w:rFonts w:hint="eastAsia" w:asciiTheme="majorEastAsia" w:hAnsiTheme="majorEastAsia" w:eastAsiaTheme="majorEastAsia" w:cstheme="majorEastAsia"/>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2560" w:firstLineChars="800"/>
        <w:jc w:val="left"/>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常政发﹝2018﹞</w:t>
      </w:r>
      <w:r>
        <w:rPr>
          <w:rFonts w:hint="eastAsia" w:ascii="楷体_GB2312" w:hAnsi="楷体_GB2312" w:eastAsia="楷体_GB2312" w:cs="楷体_GB2312"/>
          <w:kern w:val="0"/>
          <w:sz w:val="32"/>
          <w:szCs w:val="32"/>
          <w:lang w:val="en-US" w:eastAsia="zh-CN"/>
        </w:rPr>
        <w:t>66</w:t>
      </w:r>
      <w:r>
        <w:rPr>
          <w:rFonts w:hint="eastAsia" w:ascii="楷体_GB2312" w:hAnsi="楷体_GB2312" w:eastAsia="楷体_GB2312" w:cs="楷体_GB2312"/>
          <w:kern w:val="0"/>
          <w:sz w:val="32"/>
          <w:szCs w:val="32"/>
        </w:rPr>
        <w:t>号</w:t>
      </w:r>
    </w:p>
    <w:p>
      <w:pPr>
        <w:keepNext w:val="0"/>
        <w:keepLines w:val="0"/>
        <w:pageBreakBefore w:val="0"/>
        <w:widowControl/>
        <w:kinsoku/>
        <w:wordWrap/>
        <w:overflowPunct/>
        <w:topLinePunct w:val="0"/>
        <w:autoSpaceDE/>
        <w:autoSpaceDN/>
        <w:bidi w:val="0"/>
        <w:adjustRightInd/>
        <w:snapToGrid/>
        <w:spacing w:line="580" w:lineRule="exact"/>
        <w:ind w:left="3838" w:leftChars="456" w:hanging="2880" w:hangingChars="900"/>
        <w:jc w:val="left"/>
        <w:textAlignment w:val="auto"/>
        <w:outlineLvl w:val="9"/>
        <w:rPr>
          <w:rFonts w:hint="eastAsia" w:ascii="仿宋_GB2312" w:eastAsia="仿宋_GB2312" w:hAnsiTheme="majorEastAsia" w:cstheme="majorEastAsia"/>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9"/>
        <w:rPr>
          <w:rFonts w:hint="eastAsia" w:ascii="华文中宋" w:hAnsi="华文中宋" w:eastAsia="华文中宋" w:cstheme="majorEastAsia"/>
          <w:kern w:val="0"/>
          <w:sz w:val="44"/>
          <w:szCs w:val="44"/>
        </w:rPr>
      </w:pPr>
      <w:r>
        <w:rPr>
          <w:rFonts w:hint="eastAsia" w:ascii="华文中宋" w:hAnsi="华文中宋" w:eastAsia="华文中宋" w:cstheme="majorEastAsia"/>
          <w:kern w:val="0"/>
          <w:sz w:val="44"/>
          <w:szCs w:val="44"/>
        </w:rPr>
        <w:t>关于开展秋季卫计综合服务活动的实施</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9"/>
        <w:rPr>
          <w:rFonts w:hint="eastAsia" w:ascii="华文中宋" w:hAnsi="华文中宋" w:eastAsia="华文中宋" w:cstheme="majorEastAsia"/>
          <w:kern w:val="0"/>
          <w:sz w:val="44"/>
          <w:szCs w:val="44"/>
        </w:rPr>
      </w:pPr>
      <w:r>
        <w:rPr>
          <w:rFonts w:hint="eastAsia" w:ascii="华文中宋" w:hAnsi="华文中宋" w:eastAsia="华文中宋" w:cstheme="majorEastAsia"/>
          <w:kern w:val="0"/>
          <w:sz w:val="44"/>
          <w:szCs w:val="44"/>
        </w:rPr>
        <w:t>意   见</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hint="eastAsia" w:ascii="仿宋_GB2312" w:eastAsia="仿宋_GB2312" w:hAnsiTheme="majorEastAsia" w:cstheme="majorEastAsia"/>
          <w:kern w:val="0"/>
          <w:sz w:val="32"/>
          <w:szCs w:val="32"/>
        </w:rPr>
      </w:pPr>
      <w:bookmarkStart w:id="0" w:name="_GoBack"/>
      <w:bookmarkEnd w:id="0"/>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hint="eastAsia" w:ascii="仿宋_GB2312" w:eastAsia="仿宋_GB2312" w:hAnsiTheme="majorEastAsia" w:cstheme="majorEastAsia"/>
          <w:kern w:val="0"/>
          <w:sz w:val="32"/>
          <w:szCs w:val="32"/>
        </w:rPr>
      </w:pPr>
      <w:r>
        <w:rPr>
          <w:rFonts w:hint="eastAsia" w:ascii="仿宋_GB2312" w:eastAsia="仿宋_GB2312" w:hAnsiTheme="majorEastAsia" w:cstheme="majorEastAsia"/>
          <w:kern w:val="0"/>
          <w:sz w:val="32"/>
          <w:szCs w:val="32"/>
        </w:rPr>
        <w:t>各管区、村居、镇直有关部门:</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eastAsia="仿宋_GB2312" w:hAnsiTheme="majorEastAsia" w:cstheme="majorEastAsia"/>
          <w:kern w:val="0"/>
          <w:sz w:val="32"/>
          <w:szCs w:val="32"/>
        </w:rPr>
      </w:pPr>
      <w:r>
        <w:rPr>
          <w:rFonts w:hint="eastAsia" w:ascii="仿宋_GB2312" w:eastAsia="仿宋_GB2312" w:hAnsiTheme="majorEastAsia" w:cstheme="majorEastAsia"/>
          <w:kern w:val="0"/>
          <w:sz w:val="32"/>
          <w:szCs w:val="32"/>
        </w:rPr>
        <w:t>为进一步落实卫生和计划生育优质服务任务，推动全镇卫计工作长期均衡发展，根据薛人口组办字</w:t>
      </w:r>
      <w:r>
        <w:rPr>
          <w:rFonts w:hint="eastAsia" w:ascii="宋体" w:hAnsi="宋体" w:eastAsia="宋体" w:cs="宋体"/>
          <w:kern w:val="0"/>
          <w:sz w:val="32"/>
          <w:szCs w:val="32"/>
        </w:rPr>
        <w:t>﹝</w:t>
      </w:r>
      <w:r>
        <w:rPr>
          <w:rFonts w:hint="eastAsia" w:ascii="楷体_GB2312" w:eastAsia="楷体_GB2312" w:hAnsiTheme="majorEastAsia" w:cstheme="majorEastAsia"/>
          <w:kern w:val="0"/>
          <w:sz w:val="32"/>
          <w:szCs w:val="32"/>
        </w:rPr>
        <w:t>2018</w:t>
      </w:r>
      <w:r>
        <w:rPr>
          <w:rFonts w:hint="eastAsia" w:ascii="宋体" w:hAnsi="宋体" w:eastAsia="宋体" w:cs="宋体"/>
          <w:kern w:val="0"/>
          <w:sz w:val="32"/>
          <w:szCs w:val="32"/>
        </w:rPr>
        <w:t>﹞</w:t>
      </w:r>
      <w:r>
        <w:rPr>
          <w:rFonts w:hint="eastAsia" w:ascii="仿宋_GB2312" w:eastAsia="仿宋_GB2312" w:hAnsiTheme="majorEastAsia" w:cstheme="majorEastAsia"/>
          <w:kern w:val="0"/>
          <w:sz w:val="32"/>
          <w:szCs w:val="32"/>
        </w:rPr>
        <w:t>6号文件精神，经镇党委、政府研究决定，在全镇范围内开展一次秋季综合查体服务活动。特提出如下意见：</w:t>
      </w:r>
    </w:p>
    <w:p>
      <w:pPr>
        <w:keepNext w:val="0"/>
        <w:keepLines w:val="0"/>
        <w:pageBreakBefore w:val="0"/>
        <w:widowControl/>
        <w:kinsoku/>
        <w:wordWrap/>
        <w:overflowPunct/>
        <w:topLinePunct w:val="0"/>
        <w:autoSpaceDE/>
        <w:autoSpaceDN/>
        <w:bidi w:val="0"/>
        <w:adjustRightInd/>
        <w:snapToGrid/>
        <w:spacing w:line="580" w:lineRule="exact"/>
        <w:ind w:firstLine="640"/>
        <w:jc w:val="left"/>
        <w:textAlignment w:val="auto"/>
        <w:outlineLvl w:val="9"/>
        <w:rPr>
          <w:rFonts w:hint="eastAsia" w:ascii="黑体" w:hAnsi="黑体" w:eastAsia="黑体" w:cstheme="majorEastAsia"/>
          <w:kern w:val="0"/>
          <w:sz w:val="32"/>
          <w:szCs w:val="32"/>
        </w:rPr>
      </w:pPr>
      <w:r>
        <w:rPr>
          <w:rFonts w:hint="eastAsia" w:ascii="黑体" w:hAnsi="黑体" w:eastAsia="黑体" w:cstheme="majorEastAsia"/>
          <w:kern w:val="0"/>
          <w:sz w:val="32"/>
          <w:szCs w:val="32"/>
        </w:rPr>
        <w:t>一、指导思想</w:t>
      </w:r>
    </w:p>
    <w:p>
      <w:pPr>
        <w:keepNext w:val="0"/>
        <w:keepLines w:val="0"/>
        <w:pageBreakBefore w:val="0"/>
        <w:kinsoku/>
        <w:wordWrap/>
        <w:overflowPunct/>
        <w:topLinePunct w:val="0"/>
        <w:autoSpaceDE/>
        <w:autoSpaceDN/>
        <w:bidi w:val="0"/>
        <w:adjustRightInd/>
        <w:snapToGrid/>
        <w:spacing w:line="580" w:lineRule="exact"/>
        <w:ind w:firstLine="640"/>
        <w:textAlignment w:val="auto"/>
        <w:outlineLvl w:val="9"/>
        <w:rPr>
          <w:rFonts w:hint="eastAsia" w:ascii="仿宋_GB2312" w:eastAsia="仿宋_GB2312" w:hAnsiTheme="majorEastAsia"/>
          <w:kern w:val="0"/>
          <w:sz w:val="32"/>
          <w:szCs w:val="32"/>
        </w:rPr>
      </w:pPr>
      <w:r>
        <w:rPr>
          <w:rFonts w:hint="eastAsia" w:ascii="仿宋_GB2312" w:eastAsia="仿宋_GB2312" w:hAnsiTheme="majorEastAsia"/>
          <w:kern w:val="0"/>
          <w:sz w:val="32"/>
          <w:szCs w:val="32"/>
        </w:rPr>
        <w:t>以市、区卫计工作会议精神和工作要点为指导，以开展健康查体服务活动为主线，强化宣传引导，改进服务管理，进一步提高卫计优质服务的公平性，促进家庭幸福和谐，提升群众满意指数，为全镇经济社会健康发展营造良好的人口环境。</w:t>
      </w:r>
    </w:p>
    <w:p>
      <w:pPr>
        <w:keepNext w:val="0"/>
        <w:keepLines w:val="0"/>
        <w:pageBreakBefore w:val="0"/>
        <w:kinsoku/>
        <w:wordWrap/>
        <w:overflowPunct/>
        <w:topLinePunct w:val="0"/>
        <w:autoSpaceDE/>
        <w:autoSpaceDN/>
        <w:bidi w:val="0"/>
        <w:adjustRightInd/>
        <w:snapToGrid/>
        <w:spacing w:line="580" w:lineRule="exact"/>
        <w:ind w:firstLine="640"/>
        <w:textAlignment w:val="auto"/>
        <w:outlineLvl w:val="9"/>
        <w:rPr>
          <w:rFonts w:hint="eastAsia" w:ascii="黑体" w:hAnsi="黑体" w:eastAsia="黑体" w:cstheme="majorEastAsia"/>
          <w:kern w:val="0"/>
          <w:sz w:val="32"/>
          <w:szCs w:val="32"/>
        </w:rPr>
      </w:pPr>
      <w:r>
        <w:rPr>
          <w:rFonts w:hint="eastAsia" w:ascii="黑体" w:hAnsi="黑体" w:eastAsia="黑体"/>
          <w:kern w:val="0"/>
          <w:sz w:val="32"/>
          <w:szCs w:val="32"/>
        </w:rPr>
        <w:t>二、</w:t>
      </w:r>
      <w:r>
        <w:rPr>
          <w:rFonts w:hint="eastAsia" w:ascii="黑体" w:hAnsi="黑体" w:eastAsia="黑体" w:cstheme="majorEastAsia"/>
          <w:kern w:val="0"/>
          <w:sz w:val="32"/>
          <w:szCs w:val="32"/>
        </w:rPr>
        <w:t xml:space="preserve">任务目标 </w:t>
      </w:r>
    </w:p>
    <w:p>
      <w:pPr>
        <w:keepNext w:val="0"/>
        <w:keepLines w:val="0"/>
        <w:pageBreakBefore w:val="0"/>
        <w:kinsoku/>
        <w:wordWrap/>
        <w:overflowPunct/>
        <w:topLinePunct w:val="0"/>
        <w:autoSpaceDE/>
        <w:autoSpaceDN/>
        <w:bidi w:val="0"/>
        <w:adjustRightInd/>
        <w:snapToGrid/>
        <w:spacing w:line="580" w:lineRule="exact"/>
        <w:ind w:firstLine="640"/>
        <w:textAlignment w:val="auto"/>
        <w:outlineLvl w:val="9"/>
        <w:rPr>
          <w:rFonts w:hint="eastAsia" w:ascii="仿宋_GB2312" w:eastAsia="仿宋_GB2312" w:hAnsiTheme="majorEastAsia" w:cstheme="majorEastAsia"/>
          <w:kern w:val="0"/>
          <w:sz w:val="32"/>
          <w:szCs w:val="32"/>
        </w:rPr>
      </w:pPr>
      <w:r>
        <w:rPr>
          <w:rFonts w:hint="eastAsia" w:ascii="楷体_GB2312" w:hAnsi="黑体" w:eastAsia="楷体_GB2312" w:cstheme="majorEastAsia"/>
          <w:kern w:val="0"/>
          <w:sz w:val="32"/>
          <w:szCs w:val="32"/>
        </w:rPr>
        <w:t>（一）</w:t>
      </w:r>
      <w:r>
        <w:rPr>
          <w:rFonts w:hint="eastAsia" w:ascii="楷体_GB2312" w:eastAsia="楷体_GB2312" w:hAnsiTheme="majorEastAsia" w:cstheme="majorEastAsia"/>
          <w:kern w:val="0"/>
          <w:sz w:val="32"/>
          <w:szCs w:val="32"/>
        </w:rPr>
        <w:t>深入开展健康查体服务活动。</w:t>
      </w:r>
      <w:r>
        <w:rPr>
          <w:rFonts w:hint="eastAsia" w:ascii="仿宋_GB2312" w:eastAsia="仿宋_GB2312" w:hAnsiTheme="majorEastAsia" w:cstheme="majorEastAsia"/>
          <w:kern w:val="0"/>
          <w:sz w:val="32"/>
          <w:szCs w:val="32"/>
        </w:rPr>
        <w:t>各村居要精心组织42周岁（1976年1月1日以后出生）以下的新婚、一孩、和已申办再生育的育龄妇女到镇卫生院进行健康查体。在查体服务活动中，镇卫生院和卫计办要密切配合，同时，充分利用现有卫计资源，为每位到站育龄妇女开展彩超健康检查和生殖保健、优生优育、避孕节育、政策咨询指导服务。每个查体点，要悬挂宣传横幅，准备好宣传品，配置B超机、血压计、听诊器等健康检查设备，并配备一些妇科常用药物，免费发放给有需要的育龄群众。对确不愿到站查体或因特殊情况不能到站查体的育龄妇女，镇卫计办包村人员和村居专职要入户进行访查，并落实访查责任制，做到谁访查、谁签字、谁负责。镇卫生院和卫计办要联合开展好卫生计生基本公共服务，全面贯彻落实好国家规定的卫生计生免费服务项目，并完善相关台账资料。</w:t>
      </w:r>
    </w:p>
    <w:p>
      <w:pPr>
        <w:keepNext w:val="0"/>
        <w:keepLines w:val="0"/>
        <w:pageBreakBefore w:val="0"/>
        <w:kinsoku/>
        <w:wordWrap/>
        <w:overflowPunct/>
        <w:topLinePunct w:val="0"/>
        <w:autoSpaceDE/>
        <w:autoSpaceDN/>
        <w:bidi w:val="0"/>
        <w:adjustRightInd/>
        <w:snapToGrid/>
        <w:spacing w:line="580" w:lineRule="exact"/>
        <w:ind w:firstLine="640"/>
        <w:textAlignment w:val="auto"/>
        <w:outlineLvl w:val="9"/>
        <w:rPr>
          <w:rFonts w:hint="eastAsia" w:ascii="仿宋_GB2312" w:eastAsia="仿宋_GB2312" w:hAnsiTheme="majorEastAsia" w:cstheme="majorEastAsia"/>
          <w:kern w:val="0"/>
          <w:sz w:val="32"/>
          <w:szCs w:val="32"/>
        </w:rPr>
      </w:pPr>
      <w:r>
        <w:rPr>
          <w:rFonts w:hint="eastAsia" w:ascii="楷体_GB2312" w:eastAsia="楷体_GB2312" w:hAnsiTheme="majorEastAsia" w:cstheme="majorEastAsia"/>
          <w:kern w:val="0"/>
          <w:sz w:val="32"/>
          <w:szCs w:val="32"/>
        </w:rPr>
        <w:t>（二）认真开展生育全程服务活动。</w:t>
      </w:r>
      <w:r>
        <w:rPr>
          <w:rFonts w:hint="eastAsia" w:ascii="仿宋_GB2312" w:eastAsia="仿宋_GB2312" w:hAnsiTheme="majorEastAsia" w:cstheme="majorEastAsia"/>
          <w:kern w:val="0"/>
          <w:sz w:val="32"/>
          <w:szCs w:val="32"/>
        </w:rPr>
        <w:t>各村居要组织人员认真开展生育全程服务活动。各村居要组织人员开展好生育登记服务工作。对有生育意愿计划怀孕的夫妇，要及时宣传出生缺陷的预防知识，提高育龄群众对优生优育健康检查的重要性，积极动员其参加免费孕前优生检查，并免费发放叶酸，同时做好服用的指导工作；要严格落实孕情服务村居干部包保责任制，加强孕情跟踪服务，对已怀孕的育龄妇女，镇卫生院和卫计办要及时发放母婴保健手册及建立孕情跟踪服务档案，做好孕期保健服务；对符合政策怀孕后孕情不明原因消失人员，要作为“两非”线索，及时立案查处；对产后人员，镇卫生院和卫计办要联合开展好产后随访服务，了解健康情况，开展好优生优育优教指导。深入开展孕期保健服务。</w:t>
      </w:r>
    </w:p>
    <w:p>
      <w:pPr>
        <w:keepNext w:val="0"/>
        <w:keepLines w:val="0"/>
        <w:pageBreakBefore w:val="0"/>
        <w:kinsoku/>
        <w:wordWrap/>
        <w:overflowPunct/>
        <w:topLinePunct w:val="0"/>
        <w:autoSpaceDE/>
        <w:autoSpaceDN/>
        <w:bidi w:val="0"/>
        <w:adjustRightInd/>
        <w:snapToGrid/>
        <w:spacing w:line="580" w:lineRule="exact"/>
        <w:ind w:firstLine="640"/>
        <w:textAlignment w:val="auto"/>
        <w:outlineLvl w:val="9"/>
        <w:rPr>
          <w:rFonts w:hint="eastAsia" w:ascii="仿宋_GB2312" w:eastAsia="仿宋_GB2312" w:hAnsiTheme="majorEastAsia" w:cstheme="majorEastAsia"/>
          <w:kern w:val="0"/>
          <w:sz w:val="32"/>
          <w:szCs w:val="32"/>
        </w:rPr>
      </w:pPr>
      <w:r>
        <w:rPr>
          <w:rFonts w:hint="eastAsia" w:ascii="楷体_GB2312" w:eastAsia="楷体_GB2312" w:hAnsiTheme="majorEastAsia" w:cstheme="majorEastAsia"/>
          <w:kern w:val="0"/>
          <w:sz w:val="32"/>
          <w:szCs w:val="32"/>
        </w:rPr>
        <w:t>（三）积极开展避孕节育服务活动。</w:t>
      </w:r>
      <w:r>
        <w:rPr>
          <w:rFonts w:hint="eastAsia" w:ascii="仿宋_GB2312" w:eastAsia="仿宋_GB2312" w:hAnsiTheme="majorEastAsia" w:cstheme="majorEastAsia"/>
          <w:kern w:val="0"/>
          <w:sz w:val="32"/>
          <w:szCs w:val="32"/>
        </w:rPr>
        <w:t>充分利用发放宣传品、设立咨询点、入户随访以及微信等多种形式，积极开展避孕节育服务。对已生育子女的育龄妇女要大力宣传避孕节育知识；对已生育一个子女暂时不打算生育二孩的，要及时提供药具服务；对已生育两个及以上子女的，要在充分知情、知情选择的前提下，通过宣传等措施，引导其落实长效避孕节育措施，对不适宜落实长效节育措施的，免费发放避孕药具，并作为重点服务对象，对意外怀孕的，早发现、早动员，采取补救措施。</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eastAsia="仿宋_GB2312" w:hAnsiTheme="majorEastAsia" w:cstheme="majorEastAsia"/>
          <w:kern w:val="0"/>
          <w:sz w:val="32"/>
          <w:szCs w:val="32"/>
        </w:rPr>
      </w:pPr>
      <w:r>
        <w:rPr>
          <w:rFonts w:hint="eastAsia" w:ascii="黑体" w:hAnsi="黑体" w:eastAsia="黑体" w:cstheme="majorEastAsia"/>
          <w:kern w:val="0"/>
          <w:sz w:val="32"/>
          <w:szCs w:val="32"/>
        </w:rPr>
        <w:t>三、活动时间</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eastAsia="仿宋_GB2312" w:hAnsiTheme="majorEastAsia" w:cstheme="majorEastAsia"/>
          <w:kern w:val="0"/>
          <w:sz w:val="32"/>
          <w:szCs w:val="32"/>
        </w:rPr>
      </w:pPr>
      <w:r>
        <w:rPr>
          <w:rFonts w:hint="eastAsia" w:ascii="仿宋_GB2312" w:eastAsia="仿宋_GB2312" w:hAnsiTheme="majorEastAsia" w:cstheme="majorEastAsia"/>
          <w:kern w:val="0"/>
          <w:sz w:val="32"/>
          <w:szCs w:val="32"/>
        </w:rPr>
        <w:t>此次秋季服务活动从2018年12月3日开始至12月31日结束。</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eastAsia="仿宋_GB2312" w:hAnsiTheme="majorEastAsia" w:cstheme="majorEastAsia"/>
          <w:kern w:val="0"/>
          <w:sz w:val="32"/>
          <w:szCs w:val="32"/>
        </w:rPr>
      </w:pPr>
      <w:r>
        <w:rPr>
          <w:rFonts w:hint="eastAsia" w:ascii="黑体" w:hAnsi="黑体" w:eastAsia="黑体" w:cstheme="majorEastAsia"/>
          <w:kern w:val="0"/>
          <w:sz w:val="32"/>
          <w:szCs w:val="32"/>
        </w:rPr>
        <w:t>四、具体要求</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eastAsia="仿宋_GB2312" w:hAnsiTheme="majorEastAsia" w:cstheme="majorEastAsia"/>
          <w:kern w:val="0"/>
          <w:sz w:val="32"/>
          <w:szCs w:val="32"/>
        </w:rPr>
      </w:pPr>
      <w:r>
        <w:rPr>
          <w:rFonts w:hint="eastAsia" w:ascii="楷体_GB2312" w:eastAsia="楷体_GB2312" w:hAnsiTheme="majorEastAsia" w:cstheme="majorEastAsia"/>
          <w:kern w:val="0"/>
          <w:sz w:val="32"/>
          <w:szCs w:val="32"/>
        </w:rPr>
        <w:t>（一）加强组织领导。</w:t>
      </w:r>
      <w:r>
        <w:rPr>
          <w:rFonts w:hint="eastAsia" w:ascii="仿宋_GB2312" w:eastAsia="仿宋_GB2312" w:hAnsiTheme="majorEastAsia" w:cstheme="majorEastAsia"/>
          <w:kern w:val="0"/>
          <w:sz w:val="32"/>
          <w:szCs w:val="32"/>
        </w:rPr>
        <w:t>为全面做好此次服务活动，镇成立活动领导小组，由镇长任组长，具体分管卫计工作的副镇长任副组长，由相关部门负责同志为成员，领导小组下设办公室，由镇卫计办专职副主任任办公室主任，具体负责活动的督导、调度以及检查验收等工作。各村居书记要做到亲自抓、负总责，及时解决活动中遇到的困难和问题，做到责任到位、措施到位、投入到位。</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eastAsia="仿宋_GB2312" w:hAnsiTheme="majorEastAsia" w:cstheme="majorEastAsia"/>
          <w:kern w:val="0"/>
          <w:sz w:val="32"/>
          <w:szCs w:val="32"/>
        </w:rPr>
      </w:pPr>
      <w:r>
        <w:rPr>
          <w:rFonts w:hint="eastAsia" w:ascii="楷体_GB2312" w:eastAsia="楷体_GB2312" w:hAnsiTheme="majorEastAsia" w:cstheme="majorEastAsia"/>
          <w:kern w:val="0"/>
          <w:sz w:val="32"/>
          <w:szCs w:val="32"/>
        </w:rPr>
        <w:t>（二）强化综合治理。</w:t>
      </w:r>
      <w:r>
        <w:rPr>
          <w:rFonts w:hint="eastAsia" w:ascii="仿宋_GB2312" w:eastAsia="仿宋_GB2312" w:hAnsiTheme="majorEastAsia" w:cstheme="majorEastAsia"/>
          <w:kern w:val="0"/>
          <w:sz w:val="32"/>
          <w:szCs w:val="32"/>
        </w:rPr>
        <w:t>各村居要抓好计生服务管理，强化综合治理。按要求组织好查体服务活动，对有婚、孕、育现象的育龄妇女，要及时督促到镇卫计办进行生育登记，并填报相关报表。</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eastAsia="仿宋_GB2312" w:hAnsiTheme="majorEastAsia" w:cstheme="majorEastAsia"/>
          <w:kern w:val="0"/>
          <w:sz w:val="32"/>
          <w:szCs w:val="32"/>
        </w:rPr>
      </w:pPr>
      <w:r>
        <w:rPr>
          <w:rFonts w:hint="eastAsia" w:ascii="楷体_GB2312" w:eastAsia="楷体_GB2312" w:hAnsiTheme="majorEastAsia" w:cstheme="majorEastAsia"/>
          <w:kern w:val="0"/>
          <w:sz w:val="32"/>
          <w:szCs w:val="32"/>
        </w:rPr>
        <w:t>（三）严格依法行政。</w:t>
      </w:r>
      <w:r>
        <w:rPr>
          <w:rFonts w:hint="eastAsia" w:ascii="仿宋_GB2312" w:eastAsia="仿宋_GB2312" w:hAnsiTheme="majorEastAsia" w:cstheme="majorEastAsia"/>
          <w:kern w:val="0"/>
          <w:sz w:val="32"/>
          <w:szCs w:val="32"/>
        </w:rPr>
        <w:t>要坚持依法行政，镇卫计办和各村居干部在服务活动中要切实强化服务观念，转变工作理念，注意工作方式方法，做到耐心、热心、细心，坚决杜绝违法行政行为发生。</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eastAsia="仿宋_GB2312" w:hAnsiTheme="majorEastAsia" w:cstheme="majorEastAsia"/>
          <w:kern w:val="0"/>
          <w:sz w:val="32"/>
          <w:szCs w:val="32"/>
        </w:rPr>
      </w:pPr>
      <w:r>
        <w:rPr>
          <w:rFonts w:hint="eastAsia" w:ascii="楷体_GB2312" w:eastAsia="楷体_GB2312" w:hAnsiTheme="majorEastAsia" w:cstheme="majorEastAsia"/>
          <w:kern w:val="0"/>
          <w:sz w:val="32"/>
          <w:szCs w:val="32"/>
        </w:rPr>
        <w:t>（四）严格实施考核。</w:t>
      </w:r>
      <w:r>
        <w:rPr>
          <w:rFonts w:hint="eastAsia" w:ascii="仿宋_GB2312" w:eastAsia="仿宋_GB2312" w:hAnsiTheme="majorEastAsia" w:cstheme="majorEastAsia"/>
          <w:kern w:val="0"/>
          <w:sz w:val="32"/>
          <w:szCs w:val="32"/>
        </w:rPr>
        <w:t>本次查体服务活动要求农村进站率不能低于85%，综合查访率不能低于97%；社区进站率不能低于50%，综合查访率不能低于70%，查体及综合查访情况最终结果纳入村居第四季度绩效考核，与绩效工资挂钩。</w:t>
      </w:r>
    </w:p>
    <w:p>
      <w:pPr>
        <w:keepNext w:val="0"/>
        <w:keepLines w:val="0"/>
        <w:pageBreakBefore w:val="0"/>
        <w:widowControl/>
        <w:kinsoku/>
        <w:wordWrap/>
        <w:overflowPunct/>
        <w:topLinePunct w:val="0"/>
        <w:autoSpaceDE/>
        <w:autoSpaceDN/>
        <w:bidi w:val="0"/>
        <w:adjustRightInd/>
        <w:snapToGrid/>
        <w:spacing w:line="580" w:lineRule="exact"/>
        <w:ind w:left="420" w:leftChars="200"/>
        <w:jc w:val="left"/>
        <w:textAlignment w:val="auto"/>
        <w:outlineLvl w:val="9"/>
        <w:rPr>
          <w:rFonts w:hint="eastAsia" w:ascii="仿宋_GB2312" w:eastAsia="仿宋_GB2312" w:hAnsiTheme="majorEastAsia" w:cstheme="majorEastAsia"/>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3840" w:firstLineChars="1200"/>
        <w:jc w:val="left"/>
        <w:textAlignment w:val="auto"/>
        <w:outlineLvl w:val="9"/>
        <w:rPr>
          <w:rFonts w:hint="eastAsia" w:ascii="仿宋_GB2312" w:eastAsia="仿宋_GB2312" w:hAnsiTheme="majorEastAsia" w:cstheme="majorEastAsia"/>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3840" w:firstLineChars="1200"/>
        <w:jc w:val="right"/>
        <w:textAlignment w:val="auto"/>
        <w:outlineLvl w:val="9"/>
        <w:rPr>
          <w:rFonts w:hint="eastAsia" w:ascii="仿宋_GB2312" w:eastAsia="仿宋_GB2312" w:hAnsiTheme="majorEastAsia" w:cstheme="majorEastAsia"/>
          <w:kern w:val="0"/>
          <w:sz w:val="32"/>
          <w:szCs w:val="32"/>
        </w:rPr>
      </w:pPr>
      <w:r>
        <w:rPr>
          <w:rFonts w:hint="eastAsia" w:ascii="仿宋_GB2312" w:eastAsia="仿宋_GB2312" w:hAnsiTheme="majorEastAsia" w:cstheme="majorEastAsia"/>
          <w:kern w:val="0"/>
          <w:sz w:val="32"/>
          <w:szCs w:val="32"/>
        </w:rPr>
        <w:t>常庄镇人民政府</w:t>
      </w:r>
    </w:p>
    <w:p>
      <w:pPr>
        <w:keepNext w:val="0"/>
        <w:keepLines w:val="0"/>
        <w:pageBreakBefore w:val="0"/>
        <w:widowControl/>
        <w:kinsoku/>
        <w:wordWrap/>
        <w:overflowPunct/>
        <w:topLinePunct w:val="0"/>
        <w:autoSpaceDE/>
        <w:autoSpaceDN/>
        <w:bidi w:val="0"/>
        <w:adjustRightInd/>
        <w:snapToGrid/>
        <w:spacing w:line="580" w:lineRule="exact"/>
        <w:ind w:firstLine="4960" w:firstLineChars="1550"/>
        <w:jc w:val="right"/>
        <w:textAlignment w:val="auto"/>
        <w:outlineLvl w:val="9"/>
        <w:rPr>
          <w:rFonts w:hint="eastAsia" w:ascii="仿宋_GB2312" w:eastAsia="仿宋_GB2312" w:hAnsiTheme="majorEastAsia" w:cstheme="majorEastAsia"/>
          <w:kern w:val="0"/>
          <w:sz w:val="32"/>
          <w:szCs w:val="32"/>
        </w:rPr>
      </w:pPr>
      <w:r>
        <w:rPr>
          <w:rFonts w:hint="eastAsia" w:ascii="仿宋_GB2312" w:eastAsia="仿宋_GB2312" w:hAnsiTheme="majorEastAsia" w:cstheme="majorEastAsia"/>
          <w:kern w:val="0"/>
          <w:sz w:val="32"/>
          <w:szCs w:val="32"/>
        </w:rPr>
        <w:t>2018年</w:t>
      </w:r>
      <w:r>
        <w:rPr>
          <w:rFonts w:hint="eastAsia" w:ascii="仿宋_GB2312" w:eastAsia="仿宋_GB2312" w:hAnsiTheme="majorEastAsia" w:cstheme="majorEastAsia"/>
          <w:kern w:val="0"/>
          <w:sz w:val="32"/>
          <w:szCs w:val="32"/>
          <w:lang w:val="en-US" w:eastAsia="zh-CN"/>
        </w:rPr>
        <w:t>11</w:t>
      </w:r>
      <w:r>
        <w:rPr>
          <w:rFonts w:hint="eastAsia" w:ascii="仿宋_GB2312" w:eastAsia="仿宋_GB2312" w:hAnsiTheme="majorEastAsia" w:cstheme="majorEastAsia"/>
          <w:kern w:val="0"/>
          <w:sz w:val="32"/>
          <w:szCs w:val="32"/>
        </w:rPr>
        <w:t>月</w:t>
      </w:r>
      <w:r>
        <w:rPr>
          <w:rFonts w:hint="eastAsia" w:ascii="仿宋_GB2312" w:eastAsia="仿宋_GB2312" w:hAnsiTheme="majorEastAsia" w:cstheme="majorEastAsia"/>
          <w:kern w:val="0"/>
          <w:sz w:val="32"/>
          <w:szCs w:val="32"/>
          <w:lang w:val="en-US" w:eastAsia="zh-CN"/>
        </w:rPr>
        <w:t>29</w:t>
      </w:r>
      <w:r>
        <w:rPr>
          <w:rFonts w:hint="eastAsia" w:ascii="仿宋_GB2312" w:eastAsia="仿宋_GB2312" w:hAnsiTheme="majorEastAsia" w:cstheme="majorEastAsia"/>
          <w:kern w:val="0"/>
          <w:sz w:val="32"/>
          <w:szCs w:val="32"/>
        </w:rPr>
        <w:t>日</w:t>
      </w:r>
    </w:p>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仿宋_GB2312" w:eastAsia="仿宋_GB2312" w:hAnsiTheme="majorEastAsia" w:cstheme="majorEastAsia"/>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outlineLvl w:val="9"/>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13ABD"/>
    <w:rsid w:val="001F38A9"/>
    <w:rsid w:val="00213ABD"/>
    <w:rsid w:val="00893122"/>
    <w:rsid w:val="00B154D9"/>
    <w:rsid w:val="00C40E9D"/>
    <w:rsid w:val="03F72AC2"/>
    <w:rsid w:val="15707FB3"/>
    <w:rsid w:val="6F2F0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250</Words>
  <Characters>1429</Characters>
  <Lines>11</Lines>
  <Paragraphs>3</Paragraphs>
  <TotalTime>5</TotalTime>
  <ScaleCrop>false</ScaleCrop>
  <LinksUpToDate>false</LinksUpToDate>
  <CharactersWithSpaces>1676</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2018-11-29T01:07:00Z</dcterms:created>
  <dc:creator>Administrator</dc:creator>
  <cp:lastModifiedBy>杨先生。</cp:lastModifiedBy>
  <cp:lastPrinted>2018-11-29T01:15:20Z</cp:lastPrinted>
  <dcterms:modified xsi:type="dcterms:W3CDTF">2018-11-29T01:16:09Z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